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1、论文送审申请管理（学生端）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菜单路径：学位-毕业学位-论文送审申请管理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操作说明：学生申请论文送审，点击新增按钮，在弹出的窗口中填写相关信息以及上传匿名版论文，每个小页面的信息填写完成后点击保存按钮</w:t>
      </w:r>
    </w:p>
    <w:p>
      <w:r>
        <w:drawing>
          <wp:inline distT="0" distB="0" distL="114300" distR="114300">
            <wp:extent cx="5264150" cy="1377315"/>
            <wp:effectExtent l="0" t="0" r="1270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4767580"/>
            <wp:effectExtent l="0" t="0" r="698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76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论文送审申请信息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菜单路径：学位-论文校外匿名评阅-论文送审申请信息</w:t>
      </w:r>
    </w:p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操作说明：可查看学生送审申请信息，点击查看按钮可以查看学生所填写的论文送审申请信息，点击下载按钮可以下载学生提交的匿名版论文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5269230" cy="1593215"/>
            <wp:effectExtent l="0" t="0" r="762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9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论文送审导师审核（教师端）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菜单路径：导师-学生培养指导-论文送审导师审核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操作说明：提升提交论文送审申请后，首先由导师进行审核，点击审核按钮可以审核学生的申请，点击查看按钮可以查看学生填写的论文送审信息。</w:t>
      </w:r>
    </w:p>
    <w:p>
      <w:r>
        <w:drawing>
          <wp:inline distT="0" distB="0" distL="114300" distR="114300">
            <wp:extent cx="5264150" cy="1462405"/>
            <wp:effectExtent l="0" t="0" r="1270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4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1770" cy="1662430"/>
            <wp:effectExtent l="0" t="0" r="5080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3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论文送审学科审核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菜单路径：学位-论文校外匿名评阅-论文送审学科审核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操作说明：导师审核完成之后由学科组进行审核，操作方法同导师审核</w:t>
      </w:r>
    </w:p>
    <w:p>
      <w:r>
        <w:drawing>
          <wp:inline distT="0" distB="0" distL="114300" distR="114300">
            <wp:extent cx="5273040" cy="1493520"/>
            <wp:effectExtent l="0" t="0" r="3810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论文送审学院审核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菜单路径：学位-论文校外匿名评阅-论文送审学院审核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操作说明：学科组审核完成之后由学院进行审核，操作方法同学科组审核</w:t>
      </w:r>
    </w:p>
    <w:p>
      <w:r>
        <w:drawing>
          <wp:inline distT="0" distB="0" distL="114300" distR="114300">
            <wp:extent cx="5264785" cy="1518920"/>
            <wp:effectExtent l="0" t="0" r="12065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论文送审结果导入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菜单路径：学位-论文校外匿名评阅-论文送审结果导入（查看）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由学校导入学生论文送审结果，点击选择文件，选择文件，点击导入信息按钮，导入送审结果信息，点击上传评阅书按钮，选择送审专家评阅书的PDF的压缩文件上传，上传评阅书后出现查看按钮，点击可查看该专家的评阅书信息，点击删除按钮可以删掉该条论文送审结果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256530" cy="1407795"/>
            <wp:effectExtent l="0" t="0" r="1270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264150" cy="1497965"/>
            <wp:effectExtent l="0" t="0" r="12700" b="698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4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5263515" cy="1332230"/>
            <wp:effectExtent l="0" t="0" r="13335" b="127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33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2E104"/>
    <w:multiLevelType w:val="singleLevel"/>
    <w:tmpl w:val="A342E10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DI5MDU3YTZjOWNhZTIxNDc2YTM0NTgxNGVkNjYifQ=="/>
  </w:docVars>
  <w:rsids>
    <w:rsidRoot w:val="00000000"/>
    <w:rsid w:val="095740AF"/>
    <w:rsid w:val="0E0456E9"/>
    <w:rsid w:val="1CB668D0"/>
    <w:rsid w:val="22997262"/>
    <w:rsid w:val="44557637"/>
    <w:rsid w:val="4ECA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587</Words>
  <Characters>589</Characters>
  <Lines>0</Lines>
  <Paragraphs>0</Paragraphs>
  <TotalTime>11</TotalTime>
  <ScaleCrop>false</ScaleCrop>
  <LinksUpToDate>false</LinksUpToDate>
  <CharactersWithSpaces>589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2023-03-06T02:53:00Z</dcterms:created>
  <dc:creator>etong</dc:creator>
  <cp:lastModifiedBy>易通--王荣扬</cp:lastModifiedBy>
  <dcterms:modified xsi:type="dcterms:W3CDTF">2023-03-07T01:06:46Z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A9845C103D004E299D84E64B1DE5515E</vt:lpwstr>
  </property>
</Properties>
</file>